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Söderhamn kommunfullmäktige</w:t>
      </w:r>
    </w:p>
    <w:p>
      <w:pPr>
        <w:pStyle w:val="Heading1"/>
      </w:pPr>
      <w:r>
        <w:t xml:space="preserve">Tidiga insatser mot läs- och skrivsvårigheter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elever som inte når kunskapskraven i svenska är högre än rikssnittet (Skolverket 2024). Tidig screening och insatser kan förebygga senare problem och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läs- och skrivscreening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undervisningsresurser tilldelas skolor med identifierade behov.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speciallärare anställs eller utbildas för tidiga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utbildningsnämnden med Kolada-jämförelser.</w:t>
      </w:r>
    </w:p>
    <w:p>
      <w:pPr>
        <w:spacing w:before="360"/>
      </w:pPr>
    </w:p>
    <w:p>
      <w:r>
        <w:t xml:space="preserve">Söderhamn,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2026-07-14T05:16:15.113Z</dcterms:created>
  <dcterms:modified xsi:type="dcterms:W3CDTF">2026-07-14T05:16:15.113Z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